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Accord de traitement des données personnelles (DPA)</w:t>
      </w:r>
      <w:bookmarkEnd w:id="0"/>
    </w:p>
    <w:p>
      <w:pPr/>
      <w:r>
        <w:rPr>
          <w:color w:val="555555"/>
          <w:i w:val="1"/>
          <w:iCs w:val="1"/>
        </w:rPr>
        <w:t xml:space="preserve">Conclu en application de l'article 28 du Règlement (UE) 2016/679 du 27 avril 2016 (RGPD).</w:t>
      </w:r>
    </w:p>
    <w:p/>
    <w:p>
      <w:pPr>
        <w:pStyle w:val="Heading2"/>
      </w:pPr>
      <w:bookmarkStart w:id="1" w:name="_Toc1"/>
      <w:r>
        <w:t>Entre les parties</w:t>
      </w:r>
      <w:bookmarkEnd w:id="1"/>
    </w:p>
    <w:p>
      <w:pPr/>
      <w:r>
        <w:rPr>
          <w:b w:val="1"/>
          <w:bCs w:val="1"/>
        </w:rPr>
        <w:t xml:space="preserve">Le responsable de traitement (le « Client ») :</w:t>
      </w:r>
    </w:p>
    <w:p>
      <w:pPr/>
      <w:r>
        <w:rPr>
          <w:color w:val="888888"/>
        </w:rPr>
        <w:t xml:space="preserve">Raison sociale : à compléter</w:t>
      </w:r>
    </w:p>
    <w:p>
      <w:pPr/>
      <w:r>
        <w:rPr>
          <w:color w:val="888888"/>
        </w:rPr>
        <w:t xml:space="preserve">Adresse du siège : à compléter</w:t>
      </w:r>
    </w:p>
    <w:p>
      <w:pPr/>
      <w:r>
        <w:rPr>
          <w:color w:val="888888"/>
        </w:rPr>
        <w:t xml:space="preserve">SIRET : à compléter</w:t>
      </w:r>
    </w:p>
    <w:p>
      <w:pPr/>
      <w:r>
        <w:rPr>
          <w:color w:val="888888"/>
        </w:rPr>
        <w:t xml:space="preserve">Représenté par : à compléter</w:t>
      </w:r>
    </w:p>
    <w:p/>
    <w:p>
      <w:pPr/>
      <w:r>
        <w:rPr>
          <w:b w:val="1"/>
          <w:bCs w:val="1"/>
        </w:rPr>
        <w:t xml:space="preserve">Le sous-traitant (« Qorha ») :</w:t>
      </w:r>
    </w:p>
    <w:p>
      <w:pPr/>
      <w:r>
        <w:rPr>
          <w:color w:val="888888"/>
        </w:rPr>
        <w:t xml:space="preserve">Raison sociale : [À COMPLÉTER — raison sociale, forme juridique et capital social]</w:t>
      </w:r>
    </w:p>
    <w:p>
      <w:pPr/>
      <w:r>
        <w:rPr>
          <w:color w:val="888888"/>
        </w:rPr>
        <w:t xml:space="preserve">Adresse du siège : [À COMPLÉTER — adresse complète du siège social]</w:t>
      </w:r>
    </w:p>
    <w:p>
      <w:pPr/>
      <w:r>
        <w:rPr>
          <w:color w:val="888888"/>
        </w:rPr>
        <w:t xml:space="preserve">SIRET : [À COMPLÉTER — numéro SIRET]</w:t>
      </w:r>
    </w:p>
    <w:p>
      <w:pPr/>
      <w:r>
        <w:rPr/>
        <w:t xml:space="preserve">Éditeur de l'application de gestion RH Qorha (qorha.fr / app.qorha.fr).</w:t>
      </w:r>
    </w:p>
    <w:p/>
    <w:p>
      <w:pPr>
        <w:pStyle w:val="Heading2"/>
      </w:pPr>
      <w:bookmarkStart w:id="2" w:name="_Toc2"/>
      <w:r>
        <w:t>Article 1 — Objet</w:t>
      </w:r>
      <w:bookmarkEnd w:id="2"/>
    </w:p>
    <w:p>
      <w:pPr/>
      <w:r>
        <w:rPr/>
        <w:t xml:space="preserve">Le présent accord encadre le traitement de données à caractère personnel effectué par Qorha pour le compte du Client dans le cadre de la fourniture du service SaaS de gestion des ressources humaines Qorha (le « Service »). Il complète les Conditions générales de vente et d'utilisation du Service, dont il fait partie intégrante.</w:t>
      </w:r>
    </w:p>
    <w:p>
      <w:pPr>
        <w:pStyle w:val="Heading2"/>
      </w:pPr>
      <w:bookmarkStart w:id="3" w:name="_Toc3"/>
      <w:r>
        <w:t>Article 2 — Description du traitement</w:t>
      </w:r>
      <w:bookmarkEnd w:id="3"/>
    </w:p>
    <w:tbl>
      <w:tblGrid>
        <w:gridCol w:w="2200" w:type="dxa"/>
        <w:gridCol w:w="7000" w:type="dxa"/>
      </w:tblGrid>
      <w:tblPr>
        <w:tblStyle w:val="DpaTable"/>
      </w:tblPr>
      <w:tr>
        <w:trPr/>
        <w:tc>
          <w:tcPr>
            <w:tcW w:w="2200" w:type="dxa"/>
            <w:shd w:val="clear" w:fill="E8ECF4"/>
            <w:noWrap/>
          </w:tcPr>
          <w:p>
            <w:pPr/>
            <w:r>
              <w:rPr>
                <w:sz w:val="18"/>
                <w:szCs w:val="18"/>
                <w:b w:val="1"/>
                <w:bCs w:val="1"/>
              </w:rPr>
              <w:t xml:space="preserve">Durée</w:t>
            </w:r>
          </w:p>
        </w:tc>
        <w:tc>
          <w:tcPr>
            <w:tcW w:w="7000" w:type="dxa"/>
            <w:noWrap/>
          </w:tcPr>
          <w:p>
            <w:pPr/>
            <w:r>
              <w:rPr>
                <w:sz w:val="18"/>
                <w:szCs w:val="18"/>
              </w:rPr>
              <w:t xml:space="preserve">Durée d'utilisation du Service par le Client, augmentée de la période de restitution et de suppression prévue à l'article 9.</w:t>
            </w:r>
          </w:p>
        </w:tc>
      </w:tr>
      <w:tr>
        <w:trPr/>
        <w:tc>
          <w:tcPr>
            <w:tcW w:w="2200" w:type="dxa"/>
            <w:shd w:val="clear" w:fill="E8ECF4"/>
            <w:noWrap/>
          </w:tcPr>
          <w:p>
            <w:pPr/>
            <w:r>
              <w:rPr>
                <w:sz w:val="18"/>
                <w:szCs w:val="18"/>
                <w:b w:val="1"/>
                <w:bCs w:val="1"/>
              </w:rPr>
              <w:t xml:space="preserve">Nature</w:t>
            </w:r>
          </w:p>
        </w:tc>
        <w:tc>
          <w:tcPr>
            <w:tcW w:w="7000" w:type="dxa"/>
            <w:noWrap/>
          </w:tcPr>
          <w:p>
            <w:pPr/>
            <w:r>
              <w:rPr>
                <w:sz w:val="18"/>
                <w:szCs w:val="18"/>
              </w:rPr>
              <w:t xml:space="preserve">Collecte, enregistrement, structuration, conservation, consultation, extraction, communication aux destinataires autorisés, effacement — via l'hébergement et l'exploitation de l'application.</w:t>
            </w:r>
          </w:p>
        </w:tc>
      </w:tr>
      <w:tr>
        <w:trPr/>
        <w:tc>
          <w:tcPr>
            <w:tcW w:w="2200" w:type="dxa"/>
            <w:shd w:val="clear" w:fill="E8ECF4"/>
            <w:noWrap/>
          </w:tcPr>
          <w:p>
            <w:pPr/>
            <w:r>
              <w:rPr>
                <w:sz w:val="18"/>
                <w:szCs w:val="18"/>
                <w:b w:val="1"/>
                <w:bCs w:val="1"/>
              </w:rPr>
              <w:t xml:space="preserve">Finalités</w:t>
            </w:r>
          </w:p>
        </w:tc>
        <w:tc>
          <w:tcPr>
            <w:tcW w:w="7000" w:type="dxa"/>
            <w:noWrap/>
          </w:tcPr>
          <w:p>
            <w:pPr/>
            <w:r>
              <w:rPr>
                <w:sz w:val="18"/>
                <w:szCs w:val="18"/>
              </w:rPr>
              <w:t xml:space="preserve">Gestion des ressources humaines du Client : administration du personnel, contrats, congés et absences, temps de travail et planification, préparation de la paie (éléments variables), formation, suivi médical, représentants du personnel (CSE), signature électronique de documents, conformité employeur.</w:t>
            </w:r>
          </w:p>
        </w:tc>
      </w:tr>
      <w:tr>
        <w:trPr/>
        <w:tc>
          <w:tcPr>
            <w:tcW w:w="2200" w:type="dxa"/>
            <w:shd w:val="clear" w:fill="E8ECF4"/>
            <w:noWrap/>
          </w:tcPr>
          <w:p>
            <w:pPr/>
            <w:r>
              <w:rPr>
                <w:sz w:val="18"/>
                <w:szCs w:val="18"/>
                <w:b w:val="1"/>
                <w:bCs w:val="1"/>
              </w:rPr>
              <w:t xml:space="preserve">Catégories de données</w:t>
            </w:r>
          </w:p>
        </w:tc>
        <w:tc>
          <w:tcPr>
            <w:tcW w:w="7000" w:type="dxa"/>
            <w:noWrap/>
          </w:tcPr>
          <w:p>
            <w:pPr/>
            <w:r>
              <w:rPr>
                <w:sz w:val="18"/>
                <w:szCs w:val="18"/>
              </w:rPr>
              <w:t xml:space="preserve">Identité et coordonnées, données professionnelles (poste, contrat, rémunération), NIR, coordonnées bancaires, données administratives de santé au travail (dates de visites, aptitude — sans donnée médicale détaillée), absences, temps de travail, documents RH.</w:t>
            </w:r>
          </w:p>
        </w:tc>
      </w:tr>
      <w:tr>
        <w:trPr/>
        <w:tc>
          <w:tcPr>
            <w:tcW w:w="2200" w:type="dxa"/>
            <w:shd w:val="clear" w:fill="E8ECF4"/>
            <w:noWrap/>
          </w:tcPr>
          <w:p>
            <w:pPr/>
            <w:r>
              <w:rPr>
                <w:sz w:val="18"/>
                <w:szCs w:val="18"/>
                <w:b w:val="1"/>
                <w:bCs w:val="1"/>
              </w:rPr>
              <w:t xml:space="preserve">Personnes concernées</w:t>
            </w:r>
          </w:p>
        </w:tc>
        <w:tc>
          <w:tcPr>
            <w:tcW w:w="7000" w:type="dxa"/>
            <w:noWrap/>
          </w:tcPr>
          <w:p>
            <w:pPr/>
            <w:r>
              <w:rPr>
                <w:sz w:val="18"/>
                <w:szCs w:val="18"/>
              </w:rPr>
              <w:t xml:space="preserve">Salariés, anciens salariés, candidats et stagiaires du Client ; utilisateurs des comptes créés par le Client.</w:t>
            </w:r>
          </w:p>
        </w:tc>
      </w:tr>
    </w:tbl>
    <w:p/>
    <w:p>
      <w:pPr/>
      <w:r>
        <w:rPr/>
        <w:t xml:space="preserve">Le Client demeure seul responsable de la licéité des traitements qu'il opère via le Service et de la qualité des données qu'il y renseigne.</w:t>
      </w:r>
    </w:p>
    <w:p>
      <w:pPr>
        <w:pStyle w:val="Heading2"/>
      </w:pPr>
      <w:bookmarkStart w:id="4" w:name="_Toc4"/>
      <w:r>
        <w:t>Article 3 — Obligations de Qorha (article 28.3 du RGPD)</w:t>
      </w:r>
      <w:bookmarkEnd w:id="4"/>
    </w:p>
    <w:p>
      <w:pPr/>
      <w:r>
        <w:rPr/>
        <w:t xml:space="preserve">Qorha s'engage à :</w:t>
      </w:r>
    </w:p>
    <w:p>
      <w:pPr>
        <w:numPr>
          <w:ilvl w:val="0"/>
          <w:numId w:val="6"/>
        </w:numPr>
      </w:pPr>
      <w:r>
        <w:rPr>
          <w:sz w:val="20"/>
          <w:szCs w:val="20"/>
        </w:rPr>
        <w:t xml:space="preserve">ne traiter les données que sur instruction documentée du Client — l'utilisation du Service et son paramétrage par le Client valant instruction — y compris en matière de transfert vers un pays tiers, et informer le Client si une instruction constitue à son avis une violation du RGPD ;</w:t>
      </w:r>
    </w:p>
    <w:p>
      <w:pPr>
        <w:numPr>
          <w:ilvl w:val="0"/>
          <w:numId w:val="6"/>
        </w:numPr>
      </w:pPr>
      <w:r>
        <w:rPr>
          <w:sz w:val="20"/>
          <w:szCs w:val="20"/>
        </w:rPr>
        <w:t xml:space="preserve">garantir que les personnes autorisées à traiter les données s'engagent à en respecter la confidentialité ou sont soumises à une obligation légale appropriée de confidentialité ;</w:t>
      </w:r>
    </w:p>
    <w:p>
      <w:pPr>
        <w:numPr>
          <w:ilvl w:val="0"/>
          <w:numId w:val="6"/>
        </w:numPr>
      </w:pPr>
      <w:r>
        <w:rPr>
          <w:sz w:val="20"/>
          <w:szCs w:val="20"/>
        </w:rPr>
        <w:t xml:space="preserve">mettre en œuvre les mesures techniques et organisationnelles requises par l'article 32 du RGPD, décrites en annexe du présent accord ;</w:t>
      </w:r>
    </w:p>
    <w:p>
      <w:pPr>
        <w:numPr>
          <w:ilvl w:val="0"/>
          <w:numId w:val="6"/>
        </w:numPr>
      </w:pPr>
      <w:r>
        <w:rPr>
          <w:sz w:val="20"/>
          <w:szCs w:val="20"/>
        </w:rPr>
        <w:t xml:space="preserve">respecter les conditions de recrutement d'un autre sous-traitant prévues à l'article 4 ;</w:t>
      </w:r>
    </w:p>
    <w:p>
      <w:pPr>
        <w:numPr>
          <w:ilvl w:val="0"/>
          <w:numId w:val="6"/>
        </w:numPr>
      </w:pPr>
      <w:r>
        <w:rPr>
          <w:sz w:val="20"/>
          <w:szCs w:val="20"/>
        </w:rPr>
        <w:t xml:space="preserve">aider le Client, par des mesures techniques et organisationnelles appropriées, à donner suite aux demandes d'exercice des droits des personnes concernées (accès, rectification, effacement, portabilité, limitation) — le Service fournit à cet effet des fonctions d'export individuel et d'anonymisation ;</w:t>
      </w:r>
    </w:p>
    <w:p>
      <w:pPr>
        <w:numPr>
          <w:ilvl w:val="0"/>
          <w:numId w:val="6"/>
        </w:numPr>
      </w:pPr>
      <w:r>
        <w:rPr>
          <w:sz w:val="20"/>
          <w:szCs w:val="20"/>
        </w:rPr>
        <w:t xml:space="preserve">aider le Client à garantir le respect des obligations prévues aux articles 32 à 36 du RGPD (sécurité, notification des violations, analyses d'impact), compte tenu de la nature du traitement et des informations à sa disposition ;</w:t>
      </w:r>
    </w:p>
    <w:p>
      <w:pPr>
        <w:numPr>
          <w:ilvl w:val="0"/>
          <w:numId w:val="6"/>
        </w:numPr>
      </w:pPr>
      <w:r>
        <w:rPr>
          <w:sz w:val="20"/>
          <w:szCs w:val="20"/>
        </w:rPr>
        <w:t xml:space="preserve">selon le choix du Client, supprimer ou restituer toutes les données à l'issue de la prestation, dans les conditions de l'article 9 ;</w:t>
      </w:r>
    </w:p>
    <w:p>
      <w:pPr>
        <w:numPr>
          <w:ilvl w:val="0"/>
          <w:numId w:val="6"/>
        </w:numPr>
      </w:pPr>
      <w:r>
        <w:rPr>
          <w:sz w:val="20"/>
          <w:szCs w:val="20"/>
        </w:rPr>
        <w:t xml:space="preserve">mettre à la disposition du Client toutes les informations nécessaires pour démontrer le respect du présent article et permettre la réalisation d'audits, dans les conditions de l'article 8.</w:t>
      </w:r>
    </w:p>
    <w:p>
      <w:pPr>
        <w:pStyle w:val="Heading2"/>
      </w:pPr>
      <w:bookmarkStart w:id="5" w:name="_Toc5"/>
      <w:r>
        <w:t>Article 4 — Sous-traitants ultérieurs</w:t>
      </w:r>
      <w:bookmarkEnd w:id="5"/>
    </w:p>
    <w:p>
      <w:pPr/>
      <w:r>
        <w:rPr/>
        <w:t xml:space="preserve">Le Client autorise de manière générale Qorha à recourir aux sous-traitants ultérieurs listés ci-dessous. Qorha informe le Client de tout changement envisagé (ajout ou remplacement) avec un préavis raisonnable, permettant au Client d'émettre des objections. Qorha impose à ses sous-traitants ultérieurs les mêmes obligations de protection des données que celles du présent accord et demeure pleinement responsable envers le Client de l'exécution de leurs obligations.</w:t>
      </w:r>
    </w:p>
    <w:tbl>
      <w:tblGrid>
        <w:gridCol w:w="3060" w:type="dxa"/>
        <w:gridCol w:w="3060" w:type="dxa"/>
        <w:gridCol w:w="3060" w:type="dxa"/>
      </w:tblGrid>
      <w:tblPr>
        <w:tblStyle w:val="DpaTable"/>
      </w:tblPr>
      <w:tr>
        <w:trPr>
          <w:tblHeader w:val="1"/>
        </w:trPr>
        <w:tc>
          <w:tcPr>
            <w:tcW w:w="3060" w:type="dxa"/>
            <w:shd w:val="clear" w:fill="E8ECF4"/>
            <w:noWrap/>
          </w:tcPr>
          <w:p>
            <w:pPr/>
            <w:r>
              <w:rPr>
                <w:sz w:val="18"/>
                <w:szCs w:val="18"/>
                <w:b w:val="1"/>
                <w:bCs w:val="1"/>
              </w:rPr>
              <w:t xml:space="preserve">Sous-traitant ultérieur</w:t>
            </w:r>
          </w:p>
        </w:tc>
        <w:tc>
          <w:tcPr>
            <w:tcW w:w="3060" w:type="dxa"/>
            <w:shd w:val="clear" w:fill="E8ECF4"/>
            <w:noWrap/>
          </w:tcPr>
          <w:p>
            <w:pPr/>
            <w:r>
              <w:rPr>
                <w:sz w:val="18"/>
                <w:szCs w:val="18"/>
                <w:b w:val="1"/>
                <w:bCs w:val="1"/>
              </w:rPr>
              <w:t xml:space="preserve">Prestation</w:t>
            </w:r>
          </w:p>
        </w:tc>
        <w:tc>
          <w:tcPr>
            <w:tcW w:w="3060" w:type="dxa"/>
            <w:shd w:val="clear" w:fill="E8ECF4"/>
            <w:noWrap/>
          </w:tcPr>
          <w:p>
            <w:pPr/>
            <w:r>
              <w:rPr>
                <w:sz w:val="18"/>
                <w:szCs w:val="18"/>
                <w:b w:val="1"/>
                <w:bCs w:val="1"/>
              </w:rPr>
              <w:t xml:space="preserve">Localisation des données</w:t>
            </w:r>
          </w:p>
        </w:tc>
      </w:tr>
      <w:tr>
        <w:trPr/>
        <w:tc>
          <w:tcPr>
            <w:tcW w:w="3060" w:type="dxa"/>
            <w:noWrap/>
          </w:tcPr>
          <w:p>
            <w:pPr/>
            <w:r>
              <w:rPr>
                <w:sz w:val="18"/>
                <w:szCs w:val="18"/>
              </w:rPr>
              <w:t xml:space="preserve">o2switch SAS</w:t>
            </w:r>
          </w:p>
        </w:tc>
        <w:tc>
          <w:tcPr>
            <w:tcW w:w="3060" w:type="dxa"/>
            <w:noWrap/>
          </w:tcPr>
          <w:p>
            <w:pPr/>
            <w:r>
              <w:rPr>
                <w:sz w:val="18"/>
                <w:szCs w:val="18"/>
              </w:rPr>
              <w:t xml:space="preserve">Hébergement de l'application, de la base de données et des fichiers</w:t>
            </w:r>
          </w:p>
        </w:tc>
        <w:tc>
          <w:tcPr>
            <w:tcW w:w="3060" w:type="dxa"/>
            <w:noWrap/>
          </w:tcPr>
          <w:p>
            <w:pPr/>
            <w:r>
              <w:rPr>
                <w:sz w:val="18"/>
                <w:szCs w:val="18"/>
              </w:rPr>
              <w:t xml:space="preserve">France (Clermont-Ferrand) — aucun transfert hors Union européenne</w:t>
            </w:r>
          </w:p>
        </w:tc>
      </w:tr>
    </w:tbl>
    <w:p/>
    <w:p>
      <w:pPr>
        <w:pStyle w:val="Heading2"/>
      </w:pPr>
      <w:bookmarkStart w:id="6" w:name="_Toc6"/>
      <w:r>
        <w:t>Article 5 — Mesures de sécurité</w:t>
      </w:r>
      <w:bookmarkEnd w:id="6"/>
    </w:p>
    <w:p>
      <w:pPr/>
      <w:r>
        <w:rPr/>
        <w:t xml:space="preserve">Qorha met en œuvre les mesures techniques et organisationnelles décrites en annexe, notamment : chiffrement applicatif AES-256 (libsodium) des champs les plus sensibles (NIR, coordonnées bancaires, données administratives de santé), chiffrement TLS en transit, authentification à deux facteurs (2FA TOTP), contrôle d'accès par rôles et profils de permissions, journalisation d'audit et des accès en lecture, sauvegardes quotidiennes chiffrées, isolation stricte des données entre organisations (multi-tenant).</w:t>
      </w:r>
    </w:p>
    <w:p>
      <w:pPr>
        <w:pStyle w:val="Heading2"/>
      </w:pPr>
      <w:bookmarkStart w:id="7" w:name="_Toc7"/>
      <w:r>
        <w:t>Article 6 — Notification des violations de données</w:t>
      </w:r>
      <w:bookmarkEnd w:id="7"/>
    </w:p>
    <w:p>
      <w:pPr/>
      <w:r>
        <w:rPr/>
        <w:t xml:space="preserve">Qorha notifie au Client toute violation de données à caractère personnel dans les meilleurs délais et au plus tard 72 heures après en avoir pris connaissance, à l'adresse email de l'administrateur du compte. La notification décrit la nature de la violation, les catégories et le nombre approximatif de personnes et d'enregistrements concernés, les conséquences probables et les mesures prises ou proposées pour y remédier. Il appartient au Client, responsable de traitement, de notifier la violation à la CNIL et, le cas échéant, aux personnes concernées (articles 33 et 34 du RGPD).</w:t>
      </w:r>
    </w:p>
    <w:p>
      <w:pPr>
        <w:pStyle w:val="Heading2"/>
      </w:pPr>
      <w:bookmarkStart w:id="8" w:name="_Toc8"/>
      <w:r>
        <w:t>Article 7 — Confidentialité</w:t>
      </w:r>
      <w:bookmarkEnd w:id="8"/>
    </w:p>
    <w:p>
      <w:pPr/>
      <w:r>
        <w:rPr/>
        <w:t xml:space="preserve">Qorha garantit que les personnes qu'il autorise à traiter les données du Client sont soumises à une obligation de confidentialité et reçoivent la formation nécessaire en matière de protection des données. L'accès aux données de production est limité aux seules personnes qui en ont besoin pour l'exploitation et le support du Service.</w:t>
      </w:r>
    </w:p>
    <w:p>
      <w:pPr>
        <w:pStyle w:val="Heading2"/>
      </w:pPr>
      <w:bookmarkStart w:id="9" w:name="_Toc9"/>
      <w:r>
        <w:t>Article 8 — Documentation et audit</w:t>
      </w:r>
      <w:bookmarkEnd w:id="9"/>
    </w:p>
    <w:p>
      <w:pPr/>
      <w:r>
        <w:rPr/>
        <w:t xml:space="preserve">Qorha tient à la disposition du Client la documentation nécessaire pour démontrer le respect de ses obligations (notamment la description des mesures de sécurité, consultable à tout moment sur qorha.fr/securite). Le Client peut réaliser, à ses frais et au maximum une fois par an, un audit sur pièces, moyennant un préavis écrit de 30 jours et sous réserve d'un engagement de confidentialité ; un audit sur site ne peut être exigé qu'en cas de violation avérée ou de demande d'une autorité de contrôle.</w:t>
      </w:r>
    </w:p>
    <w:p>
      <w:pPr>
        <w:pStyle w:val="Heading2"/>
      </w:pPr>
      <w:bookmarkStart w:id="10" w:name="_Toc10"/>
      <w:r>
        <w:t>Article 9 — Sort des données en fin de contrat</w:t>
      </w:r>
      <w:bookmarkEnd w:id="10"/>
    </w:p>
    <w:p>
      <w:pPr/>
      <w:r>
        <w:rPr/>
        <w:t xml:space="preserve">À la fermeture du compte, le Client peut exporter l'intégralité de ses données depuis le Service (export complet au format structuré). À l'issue d'un délai de 30 jours après la clôture du compte, Qorha supprime définitivement l'ensemble des données du Client de ses systèmes de production ; les sauvegardes chiffrées sont purgées au terme de leur cycle de rotation. Qorha ne conserve aucune copie, sauf obligation légale de conservation.</w:t>
      </w:r>
    </w:p>
    <w:p>
      <w:pPr>
        <w:pStyle w:val="Heading2"/>
      </w:pPr>
      <w:bookmarkStart w:id="11" w:name="_Toc11"/>
      <w:r>
        <w:t>Article 10 — Durée et droit applicable</w:t>
      </w:r>
      <w:bookmarkEnd w:id="11"/>
    </w:p>
    <w:p>
      <w:pPr/>
      <w:r>
        <w:rPr/>
        <w:t xml:space="preserve">Le présent accord prend effet à la souscription du Service et demeure en vigueur pendant toute la durée du traitement. Il est régi par le droit français ; tout litige relève des tribunaux compétents désignés dans les CGV/CGU.</w:t>
      </w:r>
    </w:p>
    <w:p/>
    <w:p>
      <w:pPr>
        <w:pStyle w:val="Heading2"/>
      </w:pPr>
      <w:bookmarkStart w:id="12" w:name="_Toc12"/>
      <w:r>
        <w:t>Signatures</w:t>
      </w:r>
      <w:bookmarkEnd w:id="12"/>
    </w:p>
    <w:tbl>
      <w:tblGrid>
        <w:gridCol w:w="4590" w:type="dxa"/>
        <w:gridCol w:w="4590" w:type="dxa"/>
      </w:tblGrid>
      <w:tblPr>
        <w:tblStyle w:val="DpaTable"/>
      </w:tblPr>
      <w:tr>
        <w:trPr>
          <w:tblHeader w:val="1"/>
        </w:trPr>
        <w:tc>
          <w:tcPr>
            <w:tcW w:w="4590" w:type="dxa"/>
            <w:shd w:val="clear" w:fill="E8ECF4"/>
            <w:noWrap/>
          </w:tcPr>
          <w:p>
            <w:pPr/>
            <w:r>
              <w:rPr>
                <w:sz w:val="18"/>
                <w:szCs w:val="18"/>
                <w:b w:val="1"/>
                <w:bCs w:val="1"/>
              </w:rPr>
              <w:t xml:space="preserve">Pour le Client (responsable de traitement)</w:t>
            </w:r>
          </w:p>
        </w:tc>
        <w:tc>
          <w:tcPr>
            <w:tcW w:w="4590" w:type="dxa"/>
            <w:shd w:val="clear" w:fill="E8ECF4"/>
            <w:noWrap/>
          </w:tcPr>
          <w:p>
            <w:pPr/>
            <w:r>
              <w:rPr>
                <w:sz w:val="18"/>
                <w:szCs w:val="18"/>
                <w:b w:val="1"/>
                <w:bCs w:val="1"/>
              </w:rPr>
              <w:t xml:space="preserve">Pour Qorha (sous-traitant)</w:t>
            </w:r>
          </w:p>
        </w:tc>
      </w:tr>
      <w:tr>
        <w:trPr>
          <w:trHeight w:val="1400" w:hRule="atLeast"/>
        </w:trPr>
        <w:tc>
          <w:tcPr>
            <w:tcW w:w="4590" w:type="dxa"/>
            <w:noWrap/>
          </w:tcPr>
          <w:p>
            <w:pPr/>
            <w:r>
              <w:rPr>
                <w:color w:val="888888"/>
                <w:sz w:val="18"/>
                <w:szCs w:val="18"/>
              </w:rPr>
              <w:t xml:space="preserve">Nom, qualité, date, signature : à compléter</w:t>
            </w:r>
          </w:p>
        </w:tc>
        <w:tc>
          <w:tcPr>
            <w:tcW w:w="4590" w:type="dxa"/>
            <w:noWrap/>
          </w:tcPr>
          <w:p>
            <w:pPr/>
            <w:r>
              <w:rPr>
                <w:color w:val="888888"/>
                <w:sz w:val="18"/>
                <w:szCs w:val="18"/>
              </w:rPr>
              <w:t xml:space="preserve">Nom, qualité, date, signature : à compléter</w:t>
            </w:r>
          </w:p>
        </w:tc>
      </w:tr>
    </w:tbl>
    <w:p/>
    <w:p>
      <w:r>
        <w:br w:type="page"/>
      </w:r>
    </w:p>
    <w:p>
      <w:pPr>
        <w:pStyle w:val="Heading2"/>
      </w:pPr>
      <w:bookmarkStart w:id="13" w:name="_Toc13"/>
      <w:r>
        <w:t>Annexe — Mesures techniques et organisationnelles (article 32 RGPD)</w:t>
      </w:r>
      <w:bookmarkEnd w:id="13"/>
    </w:p>
    <w:p>
      <w:pPr>
        <w:pStyle w:val="Heading3"/>
      </w:pPr>
      <w:bookmarkStart w:id="14" w:name="_Toc14"/>
      <w:r>
        <w:t>Chiffrement</w:t>
      </w:r>
      <w:bookmarkEnd w:id="14"/>
    </w:p>
    <w:p>
      <w:pPr>
        <w:numPr>
          <w:ilvl w:val="0"/>
          <w:numId w:val="6"/>
        </w:numPr>
      </w:pPr>
      <w:r>
        <w:rPr>
          <w:sz w:val="20"/>
          <w:szCs w:val="20"/>
        </w:rPr>
        <w:t xml:space="preserve">Chiffrement applicatif AES-256 (bibliothèque libsodium) des champs les plus sensibles : NIR, coordonnées bancaires, informations médicales administratives.</w:t>
      </w:r>
    </w:p>
    <w:p>
      <w:pPr>
        <w:numPr>
          <w:ilvl w:val="0"/>
          <w:numId w:val="6"/>
        </w:numPr>
      </w:pPr>
      <w:r>
        <w:rPr>
          <w:sz w:val="20"/>
          <w:szCs w:val="20"/>
        </w:rPr>
        <w:t xml:space="preserve">Chiffrement TLS (HTTPS) de toutes les communications entre le navigateur et l'application.</w:t>
      </w:r>
    </w:p>
    <w:p>
      <w:pPr>
        <w:numPr>
          <w:ilvl w:val="0"/>
          <w:numId w:val="6"/>
        </w:numPr>
      </w:pPr>
      <w:r>
        <w:rPr>
          <w:sz w:val="20"/>
          <w:szCs w:val="20"/>
        </w:rPr>
        <w:t xml:space="preserve">Procédure outillée de rotation de la clé de chiffrement applicative.</w:t>
      </w:r>
    </w:p>
    <w:p>
      <w:pPr>
        <w:pStyle w:val="Heading3"/>
      </w:pPr>
      <w:bookmarkStart w:id="15" w:name="_Toc15"/>
      <w:r>
        <w:t>Contrôle d'accès</w:t>
      </w:r>
      <w:bookmarkEnd w:id="15"/>
    </w:p>
    <w:p>
      <w:pPr>
        <w:numPr>
          <w:ilvl w:val="0"/>
          <w:numId w:val="6"/>
        </w:numPr>
      </w:pPr>
      <w:r>
        <w:rPr>
          <w:sz w:val="20"/>
          <w:szCs w:val="20"/>
        </w:rPr>
        <w:t xml:space="preserve">Hiérarchie de rôles (administrateur, RH, utilisateur) et profils de permissions par module — principe du moindre privilège.</w:t>
      </w:r>
    </w:p>
    <w:p>
      <w:pPr>
        <w:numPr>
          <w:ilvl w:val="0"/>
          <w:numId w:val="6"/>
        </w:numPr>
      </w:pPr>
      <w:r>
        <w:rPr>
          <w:sz w:val="20"/>
          <w:szCs w:val="20"/>
        </w:rPr>
        <w:t xml:space="preserve">Matrice des habilitations exportable pour la revue périodique des accès.</w:t>
      </w:r>
    </w:p>
    <w:p>
      <w:pPr>
        <w:pStyle w:val="Heading3"/>
      </w:pPr>
      <w:bookmarkStart w:id="16" w:name="_Toc16"/>
      <w:r>
        <w:t>Authentification</w:t>
      </w:r>
      <w:bookmarkEnd w:id="16"/>
    </w:p>
    <w:p>
      <w:pPr>
        <w:numPr>
          <w:ilvl w:val="0"/>
          <w:numId w:val="6"/>
        </w:numPr>
      </w:pPr>
      <w:r>
        <w:rPr>
          <w:sz w:val="20"/>
          <w:szCs w:val="20"/>
        </w:rPr>
        <w:t xml:space="preserve">Authentification à deux facteurs (2FA TOTP), activable par utilisateur et pouvant être rendue obligatoire pour l'organisation.</w:t>
      </w:r>
    </w:p>
    <w:p>
      <w:pPr>
        <w:numPr>
          <w:ilvl w:val="0"/>
          <w:numId w:val="6"/>
        </w:numPr>
      </w:pPr>
      <w:r>
        <w:rPr>
          <w:sz w:val="20"/>
          <w:szCs w:val="20"/>
        </w:rPr>
        <w:t xml:space="preserve">Politique de mots de passe configurable, verrouillage de compte après échecs répétés, expiration de session configurable.</w:t>
      </w:r>
    </w:p>
    <w:p>
      <w:pPr>
        <w:pStyle w:val="Heading3"/>
      </w:pPr>
      <w:bookmarkStart w:id="17" w:name="_Toc17"/>
      <w:r>
        <w:t>Traçabilité</w:t>
      </w:r>
      <w:bookmarkEnd w:id="17"/>
    </w:p>
    <w:p>
      <w:pPr>
        <w:numPr>
          <w:ilvl w:val="0"/>
          <w:numId w:val="6"/>
        </w:numPr>
      </w:pPr>
      <w:r>
        <w:rPr>
          <w:sz w:val="20"/>
          <w:szCs w:val="20"/>
        </w:rPr>
        <w:t xml:space="preserve">Journal d'audit horodaté de toutes les opérations sensibles (création, modification, suppression, anonymisation).</w:t>
      </w:r>
    </w:p>
    <w:p>
      <w:pPr>
        <w:numPr>
          <w:ilvl w:val="0"/>
          <w:numId w:val="6"/>
        </w:numPr>
      </w:pPr>
      <w:r>
        <w:rPr>
          <w:sz w:val="20"/>
          <w:szCs w:val="20"/>
        </w:rPr>
        <w:t xml:space="preserve">Journal des accès en lecture aux fiches salariés, consultable et exportable.</w:t>
      </w:r>
    </w:p>
    <w:p>
      <w:pPr>
        <w:pStyle w:val="Heading3"/>
      </w:pPr>
      <w:bookmarkStart w:id="18" w:name="_Toc18"/>
      <w:r>
        <w:t>Sauvegardes et continuité</w:t>
      </w:r>
      <w:bookmarkEnd w:id="18"/>
    </w:p>
    <w:p>
      <w:pPr>
        <w:numPr>
          <w:ilvl w:val="0"/>
          <w:numId w:val="6"/>
        </w:numPr>
      </w:pPr>
      <w:r>
        <w:rPr>
          <w:sz w:val="20"/>
          <w:szCs w:val="20"/>
        </w:rPr>
        <w:t xml:space="preserve">Sauvegardes quotidiennes chiffrées de la base de données et des fichiers, avec rotation et procédure de restauration documentée.</w:t>
      </w:r>
    </w:p>
    <w:p>
      <w:pPr>
        <w:pStyle w:val="Heading3"/>
      </w:pPr>
      <w:bookmarkStart w:id="19" w:name="_Toc19"/>
      <w:r>
        <w:t>Minimisation et conservation</w:t>
      </w:r>
      <w:bookmarkEnd w:id="19"/>
    </w:p>
    <w:p>
      <w:pPr>
        <w:numPr>
          <w:ilvl w:val="0"/>
          <w:numId w:val="6"/>
        </w:numPr>
      </w:pPr>
      <w:r>
        <w:rPr>
          <w:sz w:val="20"/>
          <w:szCs w:val="20"/>
        </w:rPr>
        <w:t xml:space="preserve">Durées de conservation configurables, identification automatique des dossiers arrivés à échéance.</w:t>
      </w:r>
    </w:p>
    <w:p>
      <w:pPr>
        <w:numPr>
          <w:ilvl w:val="0"/>
          <w:numId w:val="6"/>
        </w:numPr>
      </w:pPr>
      <w:r>
        <w:rPr>
          <w:sz w:val="20"/>
          <w:szCs w:val="20"/>
        </w:rPr>
        <w:t xml:space="preserve">Anonymisation irréversible (droit à l'oubli) et exports de portabilité outillés dans l'application.</w:t>
      </w:r>
    </w:p>
    <w:p>
      <w:pPr>
        <w:pStyle w:val="Heading3"/>
      </w:pPr>
      <w:bookmarkStart w:id="20" w:name="_Toc20"/>
      <w:r>
        <w:t>Isolation des données</w:t>
      </w:r>
      <w:bookmarkEnd w:id="20"/>
    </w:p>
    <w:p>
      <w:pPr>
        <w:numPr>
          <w:ilvl w:val="0"/>
          <w:numId w:val="6"/>
        </w:numPr>
      </w:pPr>
      <w:r>
        <w:rPr>
          <w:sz w:val="20"/>
          <w:szCs w:val="20"/>
        </w:rPr>
        <w:t xml:space="preserve">Architecture multi-tenant avec filtre systématique par organisation au niveau de la couche d'accès aux données, vérifiée en continu par des tests automatisés de sécurité inter-organisations.</w:t>
      </w:r>
    </w:p>
    <w:p>
      <w:pPr>
        <w:pStyle w:val="Heading3"/>
      </w:pPr>
      <w:bookmarkStart w:id="21" w:name="_Toc21"/>
      <w:r>
        <w:t>Hébergement</w:t>
      </w:r>
      <w:bookmarkEnd w:id="21"/>
    </w:p>
    <w:p>
      <w:pPr>
        <w:numPr>
          <w:ilvl w:val="0"/>
          <w:numId w:val="6"/>
        </w:numPr>
      </w:pPr>
      <w:r>
        <w:rPr>
          <w:sz w:val="20"/>
          <w:szCs w:val="20"/>
        </w:rPr>
        <w:t xml:space="preserve">Hébergement exclusivement en France (o2switch, Clermont-Ferrand) — aucun transfert de données hors Union européenne.</w:t>
      </w:r>
    </w:p>
    <w:p/>
    <w:p>
      <w:pPr/>
      <w:r>
        <w:rPr>
          <w:color w:val="555555"/>
          <w:sz w:val="18"/>
          <w:szCs w:val="18"/>
          <w:i w:val="1"/>
          <w:iCs w:val="1"/>
        </w:rPr>
        <w:t xml:space="preserve">Modèle de DPA pré-rempli, généré par Qorha le 27/07/2026. Les champs « à compléter » doivent être renseignés par les parties avant signature. La description à jour des mesures de sécurité est publiée sur qorha.fr/securite.</w:t>
      </w:r>
    </w:p>
    <w:sectPr>
      <w:pgSz w:orient="portrait" w:w="11905.511811023622" w:h="16837.79527559055"/>
      <w:pgMar w:top="1100" w:right="1100" w:bottom="1100" w:left="11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
    <w:nsid w:val="73D215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92C74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color w:val="2F3B52"/>
      <w:sz w:val="36"/>
      <w:szCs w:val="36"/>
      <w:b w:val="1"/>
      <w:bCs w:val="1"/>
    </w:rPr>
  </w:style>
  <w:style w:type="paragraph" w:styleId="Heading2">
    <w:link w:val="Heading2Char"/>
    <w:name w:val="heading 2"/>
    <w:basedOn w:val="Normal"/>
    <w:pPr>
      <w:spacing w:before="280" w:after="120"/>
    </w:pPr>
    <w:rPr>
      <w:color w:val="2F3B52"/>
      <w:sz w:val="26"/>
      <w:szCs w:val="26"/>
      <w:b w:val="1"/>
      <w:bCs w:val="1"/>
    </w:rPr>
  </w:style>
  <w:style w:type="paragraph" w:styleId="Heading3">
    <w:link w:val="Heading3Char"/>
    <w:name w:val="heading 3"/>
    <w:basedOn w:val="Normal"/>
    <w:pPr>
      <w:spacing w:before="200" w:after="80"/>
    </w:pPr>
    <w:rPr>
      <w:color w:val="2F3B52"/>
      <w:sz w:val="22"/>
      <w:szCs w:val="22"/>
      <w:b w:val="1"/>
      <w:bCs w:val="1"/>
    </w:rPr>
  </w:style>
  <w:style w:type="table" w:customStyle="1" w:styleId="DpaTable">
    <w:name w:val="DpaTable"/>
    <w:uiPriority w:val="99"/>
    <w:tblPr>
      <w:tblW w:w="5000" w:type="pct"/>
      <w:tblLayout w:type="autofit"/>
      <w:tblCellMar>
        <w:top w:w="60" w:type="dxa"/>
        <w:left w:w="60" w:type="dxa"/>
        <w:right w:w="60" w:type="dxa"/>
        <w:bottom w:w="60" w:type="dxa"/>
      </w:tblCellMar>
      <w:tblBorders>
        <w:top w:val="single" w:sz="4" w:color="999999"/>
        <w:left w:val="single" w:sz="4" w:color="999999"/>
        <w:right w:val="single" w:sz="4" w:color="999999"/>
        <w:bottom w:val="single" w:sz="4" w:color="999999"/>
        <w:insideH w:val="single" w:sz="4" w:color="999999"/>
        <w:insideV w:val="single" w:sz="4" w:color="999999"/>
      </w:tblBorders>
    </w:tblPr>
    <w:tblStylePr w:type="firstRow">
      <w:tcPr>
        <w:tcPr>
          <w:shd w:val="clear" w:fill="E8ECF4"/>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Qorha</dc:creator>
  <dc:title>Accord de traitement des données (DPA) — Qorha</dc:title>
  <dc:description/>
  <dc:subject/>
  <cp:keywords/>
  <cp:category/>
  <cp:lastModifiedBy/>
  <dcterms:created xsi:type="dcterms:W3CDTF">2026-07-27T13:39:03+00:00</dcterms:created>
  <dcterms:modified xsi:type="dcterms:W3CDTF">2026-07-27T13:39:03+00:00</dcterms:modified>
</cp:coreProperties>
</file>

<file path=docProps/custom.xml><?xml version="1.0" encoding="utf-8"?>
<Properties xmlns="http://schemas.openxmlformats.org/officeDocument/2006/custom-properties" xmlns:vt="http://schemas.openxmlformats.org/officeDocument/2006/docPropsVTypes"/>
</file>